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5150 SC 5C</w:t>
      </w:r>
    </w:p>
    <w:p>
      <w:pPr/>
      <w:r>
        <w:rPr>
          <w:b w:val="1"/>
          <w:bCs w:val="1"/>
        </w:rPr>
        <w:t xml:space="preserve">5 Core (câblage continu à 5 fils)</w:t>
      </w:r>
    </w:p>
    <w:p/>
    <w:p>
      <w:pPr/>
      <w:r>
        <w:rPr/>
        <w:t xml:space="preserve">Dimensions (L x l x H): 1500 x 87 x 58 mm; Avec détecteur de mouvement: Oui; Garantie du fabricant: 5 ans; Variante: 5 Core (câblage continu à 5 fils); UC1, Code EAN: 4007841079338; Coloris: gris; Lieu d'installation: mur, plafond; Montage: Plafond; Résistance aux chocs: IK07; Indice de protection: IP65; Classe: II; Température ambiante: de -20 jusqu'à 40 °C; Matériau du boîtier: Matière plastique; Matériau du cache: Matière plastique structurée; Alimentation électrique: 220 – 240 V / 50 – 60 Hz; Consommation propre: 0,45 W; Hauteur de montage max.: 3,50 m; Cadrage électronique: Oui; Flux lumineux total du produit: 5940 lm; Température de couleur: 4000 K; Ampoule: LED non interchangeable; Fonctions: Communication cryptée, Fonction de groupe voisin, Libre choix de la valeur d'éclairage dans un groupe de luminaires, Temps de fondu réglable à l'allumage et à l'extinction, Connexion aux systèmes de batterie centrale, Détecteur de mouvement, Détecteur de lumière, Lumière d'orientation; Réglage crépusculaire: 2 – 2000 lx; Temporisation: 5 s – 60 min; Fonction balisage: Oui; Fonction balisage temps: 1-60 min; Éclairage principal réglable: 0 - 100 %; Mise en réseau possible: Oui; Mise en réseau via: Bluetooth Mesh; Durée de vie des LED selon IEC-62717 (L70): 100.000 h; Durée de vie des LED selon IEC-62717 (L80): 68.000 h; Durée de vie des LED selon IES TM-21 (L70): &gt; 60.000 h; Durée de vie des LED selon IES TM-21 (L80): &gt; 60.000 h; Fusible B10: 41; Fusible B16: 65; Fusible C10: 67; Fusible C16: 108; Fonction balisage en pourcentage: 0 – 100 %; Puissance: 42 W; Sécurité photobiologique selon la norme EN 62471: RG1; Courant à l'enclenchement, maximum: 14,8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079338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5150 SC 5C 5 Core (câblage continu à 5 fils)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2025-04-10T01:03:43+02:00</dcterms:created>
  <dcterms:modified xsi:type="dcterms:W3CDTF">2025-04-10T01:03:43+02:00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